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0000001" w14:textId="77777777" w:rsidR="004C7045" w:rsidRDefault="003C045C">
      <w:pPr>
        <w:pStyle w:val="Title"/>
      </w:pPr>
      <w:bookmarkStart w:id="0" w:name="_jx8gth8gfvt" w:colFirst="0" w:colLast="0"/>
      <w:bookmarkEnd w:id="0"/>
      <w:r>
        <w:t>London 2025 CAEP Interop at the Gartner IAM Summit</w:t>
      </w:r>
    </w:p>
    <w:p w14:paraId="00000002" w14:textId="77777777" w:rsidR="004C7045" w:rsidRDefault="003C045C">
      <w:pPr>
        <w:pStyle w:val="Subtitle"/>
      </w:pPr>
      <w:bookmarkStart w:id="1" w:name="_54snwshhge5e" w:colFirst="0" w:colLast="0"/>
      <w:bookmarkEnd w:id="1"/>
      <w:r>
        <w:t>Program Rules</w:t>
      </w:r>
    </w:p>
    <w:p w14:paraId="00000003" w14:textId="77777777" w:rsidR="004C7045" w:rsidRDefault="003C045C">
      <w:pPr>
        <w:pStyle w:val="Heading1"/>
      </w:pPr>
      <w:bookmarkStart w:id="2" w:name="_gqahuydpygtk" w:colFirst="0" w:colLast="0"/>
      <w:bookmarkEnd w:id="2"/>
      <w:r>
        <w:t>Background</w:t>
      </w:r>
    </w:p>
    <w:p w14:paraId="00000004" w14:textId="77777777" w:rsidR="004C7045" w:rsidRDefault="003C045C">
      <w:r>
        <w:t>The OpenID Foundation has hosted two interoperability events at the Gartner IAM Summit in 2024. Each time, we have raised the bar in terms of what it means to participate and be named as an interoperable implementation. The next interoperability event at the Gartner IAM Summit in London on March 24th and 25th 2025 promises to draw a mix of attendees</w:t>
      </w:r>
    </w:p>
    <w:p w14:paraId="00000005" w14:textId="77777777" w:rsidR="004C7045" w:rsidRDefault="003C045C">
      <w:pPr>
        <w:numPr>
          <w:ilvl w:val="0"/>
          <w:numId w:val="1"/>
        </w:numPr>
      </w:pPr>
      <w:r>
        <w:t>Those who have mature implementations, and have participated in previous interoperability events</w:t>
      </w:r>
    </w:p>
    <w:p w14:paraId="00000006" w14:textId="77777777" w:rsidR="004C7045" w:rsidRDefault="003C045C">
      <w:pPr>
        <w:numPr>
          <w:ilvl w:val="0"/>
          <w:numId w:val="1"/>
        </w:numPr>
      </w:pPr>
      <w:r>
        <w:t>Those who have newer implementations, and have not participated in previous interoperability events</w:t>
      </w:r>
    </w:p>
    <w:p w14:paraId="00000007" w14:textId="77777777" w:rsidR="004C7045" w:rsidRDefault="003C045C">
      <w:r>
        <w:t>As a result, we would like to set the rules that simultaneously makes it easier for newer participants to participate in the event, while highlighting the distinguishing characteristics of the more mature implementations. With this in mind, the following are the rules for this interoperability event.</w:t>
      </w:r>
    </w:p>
    <w:p w14:paraId="00000008" w14:textId="77777777" w:rsidR="004C7045" w:rsidRDefault="003C045C">
      <w:pPr>
        <w:pStyle w:val="Heading1"/>
      </w:pPr>
      <w:bookmarkStart w:id="3" w:name="_h7jxhjc9chq6" w:colFirst="0" w:colLast="0"/>
      <w:bookmarkEnd w:id="3"/>
      <w:r>
        <w:t>Rules</w:t>
      </w:r>
    </w:p>
    <w:p w14:paraId="00000009" w14:textId="77777777" w:rsidR="004C7045" w:rsidRDefault="003C045C">
      <w:pPr>
        <w:numPr>
          <w:ilvl w:val="0"/>
          <w:numId w:val="2"/>
        </w:numPr>
      </w:pPr>
      <w:r>
        <w:t xml:space="preserve">There are 15 implementation demonstration slots available to participants, divided into three sessions of 5 demo slots each. </w:t>
      </w:r>
      <w:proofErr w:type="gramStart"/>
      <w:r>
        <w:t>So</w:t>
      </w:r>
      <w:proofErr w:type="gramEnd"/>
      <w:r>
        <w:t xml:space="preserve"> the term “slot” is used to denote one table within one interoperability session of the conference.</w:t>
      </w:r>
    </w:p>
    <w:p w14:paraId="0000000A" w14:textId="77777777" w:rsidR="004C7045" w:rsidRPr="003C045C" w:rsidRDefault="003C045C">
      <w:pPr>
        <w:numPr>
          <w:ilvl w:val="0"/>
          <w:numId w:val="2"/>
        </w:numPr>
      </w:pPr>
      <w:r>
        <w:t xml:space="preserve">All Transmitter implementations are required to pass the conformance tests provided by the OpenID Foundation for the following features </w:t>
      </w:r>
      <w:r w:rsidRPr="003C045C">
        <w:t>(</w:t>
      </w:r>
      <w:r w:rsidRPr="003C045C">
        <w:t>specific features need to be discussed with the implementers</w:t>
      </w:r>
      <w:r w:rsidRPr="003C045C">
        <w:t>):</w:t>
      </w:r>
    </w:p>
    <w:p w14:paraId="0000000B" w14:textId="77777777" w:rsidR="004C7045" w:rsidRDefault="003C045C">
      <w:pPr>
        <w:numPr>
          <w:ilvl w:val="1"/>
          <w:numId w:val="2"/>
        </w:numPr>
      </w:pPr>
      <w:r>
        <w:t>Transmitter Configuration Metadata discovery</w:t>
      </w:r>
    </w:p>
    <w:p w14:paraId="0000000C" w14:textId="77777777" w:rsidR="004C7045" w:rsidRDefault="003C045C">
      <w:pPr>
        <w:numPr>
          <w:ilvl w:val="1"/>
          <w:numId w:val="2"/>
        </w:numPr>
      </w:pPr>
      <w:r>
        <w:t>Stream operations: Read, create, update and delete</w:t>
      </w:r>
    </w:p>
    <w:p w14:paraId="0000000D" w14:textId="77777777" w:rsidR="004C7045" w:rsidRDefault="003C045C">
      <w:pPr>
        <w:numPr>
          <w:ilvl w:val="1"/>
          <w:numId w:val="2"/>
        </w:numPr>
      </w:pPr>
      <w:r>
        <w:t>Push delivery</w:t>
      </w:r>
    </w:p>
    <w:p w14:paraId="0000000E" w14:textId="77777777" w:rsidR="004C7045" w:rsidRDefault="003C045C">
      <w:pPr>
        <w:numPr>
          <w:ilvl w:val="1"/>
          <w:numId w:val="2"/>
        </w:numPr>
      </w:pPr>
      <w:r>
        <w:t>Trigger verification</w:t>
      </w:r>
    </w:p>
    <w:p w14:paraId="0000000F" w14:textId="77777777" w:rsidR="004C7045" w:rsidRDefault="003C045C">
      <w:pPr>
        <w:numPr>
          <w:ilvl w:val="1"/>
          <w:numId w:val="2"/>
        </w:numPr>
      </w:pPr>
      <w:r>
        <w:t>Successfully Parse verification events</w:t>
      </w:r>
    </w:p>
    <w:p w14:paraId="00000010" w14:textId="77777777" w:rsidR="004C7045" w:rsidRDefault="003C045C">
      <w:pPr>
        <w:numPr>
          <w:ilvl w:val="0"/>
          <w:numId w:val="2"/>
        </w:numPr>
      </w:pPr>
      <w:r>
        <w:t>Transmitters and Receivers must support the SSF verification event-type and one or more of the following event-types:</w:t>
      </w:r>
    </w:p>
    <w:p w14:paraId="00000011" w14:textId="77777777" w:rsidR="004C7045" w:rsidRDefault="003C045C">
      <w:pPr>
        <w:numPr>
          <w:ilvl w:val="1"/>
          <w:numId w:val="2"/>
        </w:numPr>
      </w:pPr>
      <w:r>
        <w:t>CAEP session revoked</w:t>
      </w:r>
    </w:p>
    <w:p w14:paraId="00000012" w14:textId="77777777" w:rsidR="004C7045" w:rsidRDefault="003C045C">
      <w:pPr>
        <w:numPr>
          <w:ilvl w:val="1"/>
          <w:numId w:val="2"/>
        </w:numPr>
      </w:pPr>
      <w:r>
        <w:t>CAEP credentials changed</w:t>
      </w:r>
    </w:p>
    <w:p w14:paraId="00000013" w14:textId="77777777" w:rsidR="004C7045" w:rsidRDefault="003C045C">
      <w:pPr>
        <w:numPr>
          <w:ilvl w:val="1"/>
          <w:numId w:val="2"/>
        </w:numPr>
      </w:pPr>
      <w:r>
        <w:t>CAEP device compliance change</w:t>
      </w:r>
    </w:p>
    <w:p w14:paraId="00000014" w14:textId="77777777" w:rsidR="004C7045" w:rsidRDefault="003C045C">
      <w:pPr>
        <w:numPr>
          <w:ilvl w:val="1"/>
          <w:numId w:val="2"/>
        </w:numPr>
      </w:pPr>
      <w:r>
        <w:t>CAEP risk level changed</w:t>
      </w:r>
    </w:p>
    <w:p w14:paraId="00000015" w14:textId="77777777" w:rsidR="004C7045" w:rsidRDefault="003C045C">
      <w:pPr>
        <w:numPr>
          <w:ilvl w:val="0"/>
          <w:numId w:val="2"/>
        </w:numPr>
      </w:pPr>
      <w:r>
        <w:t xml:space="preserve">Implementations that pass the above conformance tests and support the above event-types will be called “conformant implementations”. Receiver implementations, for the </w:t>
      </w:r>
      <w:r>
        <w:lastRenderedPageBreak/>
        <w:t>purposes of this document, are excused from performing conformance tests, but they need to support the event-types specified above.</w:t>
      </w:r>
    </w:p>
    <w:p w14:paraId="00000016" w14:textId="77777777" w:rsidR="004C7045" w:rsidRDefault="003C045C">
      <w:pPr>
        <w:numPr>
          <w:ilvl w:val="0"/>
          <w:numId w:val="2"/>
        </w:numPr>
      </w:pPr>
      <w:r>
        <w:t>In addition, a conformant implementation must successfully test with at least one other conformant implementation in order to be able to be called an interoperable implementation. An implementation is considered to have successfully completed a pairwise interoperability test if and only if the peer implementation they are testing with certifies that their test was successful.</w:t>
      </w:r>
    </w:p>
    <w:p w14:paraId="00000017" w14:textId="77777777" w:rsidR="004C7045" w:rsidRDefault="003C045C">
      <w:pPr>
        <w:numPr>
          <w:ilvl w:val="0"/>
          <w:numId w:val="2"/>
        </w:numPr>
      </w:pPr>
      <w:r>
        <w:t>Only interoperable implementations are assigned slots in the interoperability demo sessions.</w:t>
      </w:r>
    </w:p>
    <w:p w14:paraId="00000018" w14:textId="77777777" w:rsidR="004C7045" w:rsidRDefault="003C045C">
      <w:pPr>
        <w:numPr>
          <w:ilvl w:val="0"/>
          <w:numId w:val="2"/>
        </w:numPr>
      </w:pPr>
      <w:r>
        <w:t>Each demo slot will be a table for 30 minutes used to demonstrate how your implementation leverages CAEP and SSF to achieve real-world use cases.</w:t>
      </w:r>
    </w:p>
    <w:p w14:paraId="00000019" w14:textId="77777777" w:rsidR="004C7045" w:rsidRDefault="003C045C">
      <w:pPr>
        <w:numPr>
          <w:ilvl w:val="0"/>
          <w:numId w:val="2"/>
        </w:numPr>
      </w:pPr>
      <w:r>
        <w:t>Each interoperable implementation will be in one of three categories:</w:t>
      </w:r>
    </w:p>
    <w:p w14:paraId="0000001A" w14:textId="77777777" w:rsidR="004C7045" w:rsidRDefault="003C045C">
      <w:pPr>
        <w:numPr>
          <w:ilvl w:val="1"/>
          <w:numId w:val="2"/>
        </w:numPr>
      </w:pPr>
      <w:r>
        <w:t>Any implementation that has a publicly available description that is findable through search engine results that clearly states their readily available support for SSF and / or CAEP will be given an “Available Now” listing</w:t>
      </w:r>
    </w:p>
    <w:p w14:paraId="0000001B" w14:textId="77777777" w:rsidR="004C7045" w:rsidRDefault="003C045C">
      <w:pPr>
        <w:numPr>
          <w:ilvl w:val="1"/>
          <w:numId w:val="2"/>
        </w:numPr>
      </w:pPr>
      <w:r>
        <w:t>Any implementation that has a publicly available description that is findable through search engine results, which clearly states that the implementation will be available in the near future, will be given an “Available Soon” listing.</w:t>
      </w:r>
    </w:p>
    <w:p w14:paraId="0000001C" w14:textId="77777777" w:rsidR="004C7045" w:rsidRDefault="003C045C">
      <w:pPr>
        <w:numPr>
          <w:ilvl w:val="1"/>
          <w:numId w:val="2"/>
        </w:numPr>
      </w:pPr>
      <w:r>
        <w:t>All other implementations will be called “In Development” in their listing.</w:t>
      </w:r>
    </w:p>
    <w:p w14:paraId="0000001D" w14:textId="77777777" w:rsidR="004C7045" w:rsidRDefault="003C045C">
      <w:pPr>
        <w:numPr>
          <w:ilvl w:val="0"/>
          <w:numId w:val="2"/>
        </w:numPr>
      </w:pPr>
      <w:r>
        <w:t>The “availability priority order” of implementations will be:</w:t>
      </w:r>
    </w:p>
    <w:p w14:paraId="0000001E" w14:textId="77777777" w:rsidR="004C7045" w:rsidRDefault="003C045C">
      <w:pPr>
        <w:numPr>
          <w:ilvl w:val="1"/>
          <w:numId w:val="2"/>
        </w:numPr>
      </w:pPr>
      <w:r>
        <w:t>“Available Now”</w:t>
      </w:r>
    </w:p>
    <w:p w14:paraId="0000001F" w14:textId="77777777" w:rsidR="004C7045" w:rsidRDefault="003C045C">
      <w:pPr>
        <w:numPr>
          <w:ilvl w:val="1"/>
          <w:numId w:val="2"/>
        </w:numPr>
      </w:pPr>
      <w:r>
        <w:t>“Available Soon”</w:t>
      </w:r>
    </w:p>
    <w:p w14:paraId="00000020" w14:textId="77777777" w:rsidR="004C7045" w:rsidRDefault="003C045C">
      <w:pPr>
        <w:numPr>
          <w:ilvl w:val="1"/>
          <w:numId w:val="2"/>
        </w:numPr>
      </w:pPr>
      <w:r>
        <w:t>“In Development”</w:t>
      </w:r>
    </w:p>
    <w:p w14:paraId="00000021" w14:textId="77777777" w:rsidR="004C7045" w:rsidRDefault="003C045C">
      <w:pPr>
        <w:numPr>
          <w:ilvl w:val="0"/>
          <w:numId w:val="2"/>
        </w:numPr>
      </w:pPr>
      <w:r>
        <w:t>If there are more implementations than slots available, then the following features will be considered (in order of selection). Each subsequent item below will be considered if required to break ties in the previous item, or if the previous item has been exhausted.</w:t>
      </w:r>
    </w:p>
    <w:p w14:paraId="00000022" w14:textId="77777777" w:rsidR="004C7045" w:rsidRDefault="003C045C">
      <w:pPr>
        <w:numPr>
          <w:ilvl w:val="1"/>
          <w:numId w:val="2"/>
        </w:numPr>
      </w:pPr>
      <w:r>
        <w:t>The first two new implementations will be prioritized over anything else</w:t>
      </w:r>
    </w:p>
    <w:p w14:paraId="00000023" w14:textId="77777777" w:rsidR="004C7045" w:rsidRDefault="003C045C">
      <w:pPr>
        <w:numPr>
          <w:ilvl w:val="1"/>
          <w:numId w:val="2"/>
        </w:numPr>
      </w:pPr>
      <w:r>
        <w:t>Availability priority order</w:t>
      </w:r>
    </w:p>
    <w:p w14:paraId="00000024" w14:textId="77777777" w:rsidR="004C7045" w:rsidRDefault="003C045C">
      <w:pPr>
        <w:numPr>
          <w:ilvl w:val="1"/>
          <w:numId w:val="2"/>
        </w:numPr>
      </w:pPr>
      <w:r>
        <w:t>Whether the participant organization is a member of the OpenID Foundation</w:t>
      </w:r>
    </w:p>
    <w:p w14:paraId="00000025" w14:textId="77777777" w:rsidR="004C7045" w:rsidRDefault="003C045C">
      <w:pPr>
        <w:numPr>
          <w:ilvl w:val="1"/>
          <w:numId w:val="2"/>
        </w:numPr>
      </w:pPr>
      <w:r>
        <w:t>Number of successful pairwise tests with conformant implementations</w:t>
      </w:r>
    </w:p>
    <w:p w14:paraId="00000026" w14:textId="77777777" w:rsidR="004C7045" w:rsidRDefault="003C045C">
      <w:pPr>
        <w:numPr>
          <w:ilvl w:val="0"/>
          <w:numId w:val="2"/>
        </w:numPr>
      </w:pPr>
      <w:r>
        <w:t>There are 5 free registration passes for the Gartner IAM Summit London. These passes will have the “speaker” designation. The passes will be allotted as follows. Each subsequent item below will be considered to break any ties in the previous item.</w:t>
      </w:r>
    </w:p>
    <w:p w14:paraId="00000027" w14:textId="77777777" w:rsidR="004C7045" w:rsidRDefault="003C045C">
      <w:pPr>
        <w:numPr>
          <w:ilvl w:val="1"/>
          <w:numId w:val="2"/>
        </w:numPr>
      </w:pPr>
      <w:r>
        <w:t>The recipient must represent an OpenID Member organization by the time free passes are confirmed</w:t>
      </w:r>
    </w:p>
    <w:p w14:paraId="00000028" w14:textId="77777777" w:rsidR="004C7045" w:rsidRDefault="003C045C">
      <w:pPr>
        <w:numPr>
          <w:ilvl w:val="1"/>
          <w:numId w:val="2"/>
        </w:numPr>
      </w:pPr>
      <w:r>
        <w:t>New implementations will be considered before existing implementations.</w:t>
      </w:r>
    </w:p>
    <w:p w14:paraId="00000029" w14:textId="77777777" w:rsidR="004C7045" w:rsidRDefault="003C045C">
      <w:pPr>
        <w:numPr>
          <w:ilvl w:val="1"/>
          <w:numId w:val="2"/>
        </w:numPr>
      </w:pPr>
      <w:r>
        <w:t>Availability priority order</w:t>
      </w:r>
    </w:p>
    <w:p w14:paraId="0000002A" w14:textId="77777777" w:rsidR="004C7045" w:rsidRDefault="003C045C">
      <w:pPr>
        <w:numPr>
          <w:ilvl w:val="1"/>
          <w:numId w:val="2"/>
        </w:numPr>
      </w:pPr>
      <w:r>
        <w:t>Number of successful pairwise tests with conformant implementations</w:t>
      </w:r>
    </w:p>
    <w:p w14:paraId="0000002B" w14:textId="77777777" w:rsidR="004C7045" w:rsidRDefault="003C045C">
      <w:pPr>
        <w:ind w:left="720"/>
      </w:pPr>
      <w:r>
        <w:t>Other attendees who wish to participate in the interoperability event will have to purchase their own full conference passes, and they will have an “attendee” designation.</w:t>
      </w:r>
    </w:p>
    <w:p w14:paraId="0000002C" w14:textId="77777777" w:rsidR="004C7045" w:rsidRDefault="003C045C">
      <w:pPr>
        <w:numPr>
          <w:ilvl w:val="0"/>
          <w:numId w:val="2"/>
        </w:numPr>
      </w:pPr>
      <w:r>
        <w:t>Just prior to the conference commencing, the results of the interoperability tests will be announced. Each conformant implementation will be highlighted as such. Availability priority will also determine the prominence of a listing in the results announcements.</w:t>
      </w:r>
    </w:p>
    <w:p w14:paraId="0000002D" w14:textId="77777777" w:rsidR="004C7045" w:rsidRDefault="004C7045"/>
    <w:sectPr w:rsidR="004C704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6D1BE3"/>
    <w:multiLevelType w:val="multilevel"/>
    <w:tmpl w:val="30E07A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ABA16A1"/>
    <w:multiLevelType w:val="multilevel"/>
    <w:tmpl w:val="C0B6B1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45766611">
    <w:abstractNumId w:val="0"/>
  </w:num>
  <w:num w:numId="2" w16cid:durableId="15550396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7045"/>
    <w:rsid w:val="00253D68"/>
    <w:rsid w:val="003C045C"/>
    <w:rsid w:val="004C70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C872E1-1E88-4879-84CE-B8417452B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722</Words>
  <Characters>4116</Characters>
  <Application>Microsoft Office Word</Application>
  <DocSecurity>0</DocSecurity>
  <Lines>34</Lines>
  <Paragraphs>9</Paragraphs>
  <ScaleCrop>false</ScaleCrop>
  <Company/>
  <LinksUpToDate>false</LinksUpToDate>
  <CharactersWithSpaces>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Serj Hallam</dc:creator>
  <cp:lastModifiedBy>Serj Hallam</cp:lastModifiedBy>
  <cp:revision>2</cp:revision>
  <dcterms:created xsi:type="dcterms:W3CDTF">2025-01-28T09:24:00Z</dcterms:created>
  <dcterms:modified xsi:type="dcterms:W3CDTF">2025-01-28T09:24:00Z</dcterms:modified>
</cp:coreProperties>
</file>